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9"/>
        <w:gridCol w:w="5429"/>
      </w:tblGrid>
      <w:tr w:rsidR="00BD47D0" w14:paraId="01CA3AE3" w14:textId="77777777">
        <w:trPr>
          <w:jc w:val="center"/>
        </w:trPr>
        <w:tc>
          <w:tcPr>
            <w:tcW w:w="5429" w:type="dxa"/>
            <w:tcBorders>
              <w:bottom w:val="single" w:sz="16" w:space="0" w:color="F58220"/>
            </w:tcBorders>
            <w:shd w:val="clear" w:color="auto" w:fill="004B2D"/>
            <w:tcMar>
              <w:top w:w="165" w:type="dxa"/>
              <w:left w:w="165" w:type="dxa"/>
              <w:bottom w:w="150" w:type="dxa"/>
              <w:right w:w="165" w:type="dxa"/>
            </w:tcMar>
            <w:vAlign w:val="center"/>
          </w:tcPr>
          <w:p w14:paraId="2F69973A" w14:textId="77777777" w:rsidR="00BD47D0" w:rsidRDefault="00000000">
            <w:pPr>
              <w:spacing w:line="240" w:lineRule="auto"/>
            </w:pPr>
            <w:r>
              <w:rPr>
                <w:b/>
                <w:caps/>
                <w:color w:val="FFFFFF"/>
                <w:sz w:val="22"/>
              </w:rPr>
              <w:t>FLORIDA A&amp;M UNIVERSITY</w:t>
            </w:r>
          </w:p>
          <w:p w14:paraId="00DB537B" w14:textId="77777777" w:rsidR="00BD47D0" w:rsidRDefault="00000000">
            <w:pPr>
              <w:spacing w:before="20" w:line="240" w:lineRule="auto"/>
            </w:pPr>
            <w:r>
              <w:rPr>
                <w:color w:val="FFFFFF"/>
                <w:sz w:val="20"/>
              </w:rPr>
              <w:t>College of Pharmacy and Pharmaceutical Sciences, Institute of Public Health</w:t>
            </w:r>
          </w:p>
        </w:tc>
        <w:tc>
          <w:tcPr>
            <w:tcW w:w="5429" w:type="dxa"/>
            <w:tcBorders>
              <w:bottom w:val="single" w:sz="16" w:space="0" w:color="F58220"/>
            </w:tcBorders>
            <w:shd w:val="clear" w:color="auto" w:fill="004B2D"/>
            <w:tcMar>
              <w:top w:w="165" w:type="dxa"/>
              <w:left w:w="165" w:type="dxa"/>
              <w:bottom w:w="150" w:type="dxa"/>
              <w:right w:w="165" w:type="dxa"/>
            </w:tcMar>
            <w:vAlign w:val="center"/>
          </w:tcPr>
          <w:p w14:paraId="791E4D21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aps/>
                <w:color w:val="F58220"/>
                <w:sz w:val="34"/>
              </w:rPr>
              <w:t>RETREAT</w:t>
            </w:r>
          </w:p>
          <w:p w14:paraId="1A81D4B7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olor w:val="FFFFFF"/>
                <w:sz w:val="21"/>
              </w:rPr>
              <w:t>2026</w:t>
            </w:r>
          </w:p>
        </w:tc>
      </w:tr>
    </w:tbl>
    <w:p w14:paraId="4641D81A" w14:textId="77777777" w:rsidR="00BD47D0" w:rsidRDefault="00000000">
      <w:pPr>
        <w:spacing w:before="240" w:after="20" w:line="240" w:lineRule="auto"/>
        <w:jc w:val="center"/>
      </w:pPr>
      <w:r>
        <w:rPr>
          <w:b/>
          <w:color w:val="006B3F"/>
          <w:sz w:val="50"/>
        </w:rPr>
        <w:t>THE RIPPLE EFFECT</w:t>
      </w:r>
    </w:p>
    <w:p w14:paraId="670C3BC8" w14:textId="77777777" w:rsidR="00BD47D0" w:rsidRDefault="00000000">
      <w:pPr>
        <w:spacing w:after="60" w:line="240" w:lineRule="auto"/>
        <w:jc w:val="center"/>
      </w:pPr>
      <w:r>
        <w:rPr>
          <w:b/>
          <w:color w:val="F58220"/>
          <w:sz w:val="24"/>
        </w:rPr>
        <w:t>Strengthening Connection  |  Enhancing Instruction  |  Elevating Assessment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19"/>
        <w:gridCol w:w="3619"/>
        <w:gridCol w:w="5429"/>
      </w:tblGrid>
      <w:tr w:rsidR="00BD47D0" w14:paraId="54525C99" w14:textId="77777777">
        <w:trPr>
          <w:jc w:val="center"/>
        </w:trPr>
        <w:tc>
          <w:tcPr>
            <w:tcW w:w="3619" w:type="dxa"/>
            <w:tcBorders>
              <w:top w:val="single" w:sz="6" w:space="0" w:color="B8D7C5"/>
              <w:left w:val="single" w:sz="4" w:space="0" w:color="D7E7DE"/>
              <w:bottom w:val="single" w:sz="6" w:space="0" w:color="B8D7C5"/>
              <w:right w:val="single" w:sz="4" w:space="0" w:color="D7E7DE"/>
            </w:tcBorders>
            <w:shd w:val="clear" w:color="auto" w:fill="F5FAF7"/>
            <w:tcMar>
              <w:top w:w="115" w:type="dxa"/>
              <w:left w:w="115" w:type="dxa"/>
              <w:bottom w:w="110" w:type="dxa"/>
              <w:right w:w="115" w:type="dxa"/>
            </w:tcMar>
            <w:vAlign w:val="center"/>
          </w:tcPr>
          <w:p w14:paraId="5B5E4C6F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aps/>
                <w:color w:val="F58220"/>
                <w:sz w:val="16"/>
              </w:rPr>
              <w:t>DATE</w:t>
            </w:r>
          </w:p>
          <w:p w14:paraId="4BA723ED" w14:textId="77777777" w:rsidR="00BD47D0" w:rsidRDefault="00000000">
            <w:pPr>
              <w:spacing w:before="20" w:line="240" w:lineRule="auto"/>
              <w:jc w:val="center"/>
            </w:pPr>
            <w:r>
              <w:rPr>
                <w:b/>
                <w:sz w:val="20"/>
              </w:rPr>
              <w:t>Wednesday, July 29, 2026</w:t>
            </w:r>
          </w:p>
        </w:tc>
        <w:tc>
          <w:tcPr>
            <w:tcW w:w="3619" w:type="dxa"/>
            <w:tcBorders>
              <w:top w:val="single" w:sz="6" w:space="0" w:color="B8D7C5"/>
              <w:left w:val="single" w:sz="4" w:space="0" w:color="D7E7DE"/>
              <w:bottom w:val="single" w:sz="6" w:space="0" w:color="B8D7C5"/>
              <w:right w:val="single" w:sz="4" w:space="0" w:color="D7E7DE"/>
            </w:tcBorders>
            <w:shd w:val="clear" w:color="auto" w:fill="F5FAF7"/>
            <w:tcMar>
              <w:top w:w="115" w:type="dxa"/>
              <w:left w:w="115" w:type="dxa"/>
              <w:bottom w:w="110" w:type="dxa"/>
              <w:right w:w="115" w:type="dxa"/>
            </w:tcMar>
            <w:vAlign w:val="center"/>
          </w:tcPr>
          <w:p w14:paraId="661A20A0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aps/>
                <w:color w:val="F58220"/>
                <w:sz w:val="16"/>
              </w:rPr>
              <w:t>EVENT</w:t>
            </w:r>
          </w:p>
          <w:p w14:paraId="136278B0" w14:textId="77777777" w:rsidR="00BD47D0" w:rsidRDefault="00000000">
            <w:pPr>
              <w:spacing w:before="20" w:line="240" w:lineRule="auto"/>
              <w:jc w:val="center"/>
            </w:pPr>
            <w:r>
              <w:rPr>
                <w:b/>
                <w:sz w:val="20"/>
              </w:rPr>
              <w:t>The Gathering</w:t>
            </w:r>
          </w:p>
        </w:tc>
        <w:tc>
          <w:tcPr>
            <w:tcW w:w="3619" w:type="dxa"/>
            <w:tcBorders>
              <w:top w:val="single" w:sz="6" w:space="0" w:color="B8D7C5"/>
              <w:left w:val="single" w:sz="4" w:space="0" w:color="D7E7DE"/>
              <w:bottom w:val="single" w:sz="6" w:space="0" w:color="B8D7C5"/>
              <w:right w:val="single" w:sz="4" w:space="0" w:color="D7E7DE"/>
            </w:tcBorders>
            <w:shd w:val="clear" w:color="auto" w:fill="F5FAF7"/>
            <w:tcMar>
              <w:top w:w="115" w:type="dxa"/>
              <w:left w:w="115" w:type="dxa"/>
              <w:bottom w:w="110" w:type="dxa"/>
              <w:right w:w="115" w:type="dxa"/>
            </w:tcMar>
            <w:vAlign w:val="center"/>
          </w:tcPr>
          <w:p w14:paraId="43BCB441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aps/>
                <w:color w:val="F58220"/>
                <w:sz w:val="16"/>
              </w:rPr>
              <w:t>LOCATION</w:t>
            </w:r>
          </w:p>
          <w:p w14:paraId="395C03EC" w14:textId="77777777" w:rsidR="00BD47D0" w:rsidRDefault="00000000">
            <w:pPr>
              <w:spacing w:before="20" w:line="240" w:lineRule="auto"/>
              <w:jc w:val="center"/>
            </w:pPr>
            <w:r>
              <w:t>Bradley’s Pond</w:t>
            </w:r>
          </w:p>
          <w:p w14:paraId="1A0F3434" w14:textId="77777777" w:rsidR="00BD47D0" w:rsidRDefault="00000000">
            <w:pPr>
              <w:spacing w:before="20" w:line="240" w:lineRule="auto"/>
              <w:jc w:val="center"/>
            </w:pPr>
            <w:r>
              <w:t>9002 Bradley Road, Tallahassee, FL 32309</w:t>
            </w:r>
          </w:p>
        </w:tc>
      </w:tr>
      <w:tr w:rsidR="00BD47D0" w14:paraId="562877D2" w14:textId="77777777">
        <w:trPr>
          <w:jc w:val="center"/>
        </w:trPr>
        <w:tc>
          <w:tcPr>
            <w:tcW w:w="5429" w:type="dxa"/>
            <w:gridSpan w:val="2"/>
            <w:tcBorders>
              <w:bottom w:val="single" w:sz="4" w:space="0" w:color="D6DADD"/>
            </w:tcBorders>
            <w:shd w:val="clear" w:color="auto" w:fill="F4F5F6"/>
            <w:tcMar>
              <w:top w:w="90" w:type="dxa"/>
              <w:left w:w="115" w:type="dxa"/>
              <w:bottom w:w="85" w:type="dxa"/>
              <w:right w:w="115" w:type="dxa"/>
            </w:tcMar>
          </w:tcPr>
          <w:p w14:paraId="76B72BC6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aps/>
                <w:color w:val="006B3F"/>
                <w:sz w:val="16"/>
              </w:rPr>
              <w:t xml:space="preserve">PRESENTED BY  </w:t>
            </w:r>
            <w:r>
              <w:rPr>
                <w:sz w:val="17"/>
              </w:rPr>
              <w:t>Offices of Clinical Affairs and Academic Excellence and Development</w:t>
            </w:r>
          </w:p>
        </w:tc>
        <w:tc>
          <w:tcPr>
            <w:tcW w:w="5429" w:type="dxa"/>
            <w:tcBorders>
              <w:bottom w:val="single" w:sz="4" w:space="0" w:color="D6DADD"/>
            </w:tcBorders>
            <w:shd w:val="clear" w:color="auto" w:fill="F4F5F6"/>
            <w:tcMar>
              <w:top w:w="90" w:type="dxa"/>
              <w:left w:w="115" w:type="dxa"/>
              <w:bottom w:w="85" w:type="dxa"/>
              <w:right w:w="115" w:type="dxa"/>
            </w:tcMar>
          </w:tcPr>
          <w:p w14:paraId="6C175518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aps/>
                <w:color w:val="006B3F"/>
                <w:sz w:val="16"/>
              </w:rPr>
              <w:t xml:space="preserve">FACILITATED BY  </w:t>
            </w:r>
            <w:r>
              <w:rPr>
                <w:sz w:val="17"/>
              </w:rPr>
              <w:t>Dr. Pamela Davis, Growth Matters, LLC</w:t>
            </w:r>
          </w:p>
        </w:tc>
      </w:tr>
    </w:tbl>
    <w:p w14:paraId="6989A81A" w14:textId="77777777" w:rsidR="00BD47D0" w:rsidRDefault="00000000">
      <w:pPr>
        <w:spacing w:before="180" w:after="60" w:line="240" w:lineRule="auto"/>
      </w:pPr>
      <w:r>
        <w:rPr>
          <w:b/>
          <w:caps/>
          <w:color w:val="006B3F"/>
          <w:sz w:val="22"/>
        </w:rPr>
        <w:t>PRELIMINARY AGENDA</w:t>
      </w:r>
      <w:r>
        <w:rPr>
          <w:i/>
          <w:color w:val="56616A"/>
        </w:rPr>
        <w:t xml:space="preserve">  •  Updated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29"/>
        <w:gridCol w:w="8453"/>
      </w:tblGrid>
      <w:tr w:rsidR="00BD47D0" w14:paraId="5DA28E3D" w14:textId="77777777">
        <w:trPr>
          <w:tblHeader/>
          <w:jc w:val="center"/>
        </w:trPr>
        <w:tc>
          <w:tcPr>
            <w:tcW w:w="5429" w:type="dxa"/>
            <w:tcBorders>
              <w:top w:val="single" w:sz="6" w:space="0" w:color="006B3F"/>
              <w:bottom w:val="single" w:sz="6" w:space="0" w:color="006B3F"/>
            </w:tcBorders>
            <w:shd w:val="clear" w:color="auto" w:fill="006B3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6102CE1A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caps/>
                <w:color w:val="FFFFFF"/>
              </w:rPr>
              <w:t>TIME</w:t>
            </w:r>
          </w:p>
        </w:tc>
        <w:tc>
          <w:tcPr>
            <w:tcW w:w="5429" w:type="dxa"/>
            <w:tcBorders>
              <w:top w:val="single" w:sz="6" w:space="0" w:color="006B3F"/>
              <w:bottom w:val="single" w:sz="6" w:space="0" w:color="006B3F"/>
            </w:tcBorders>
            <w:shd w:val="clear" w:color="auto" w:fill="006B3F"/>
            <w:tcMar>
              <w:top w:w="75" w:type="dxa"/>
              <w:left w:w="110" w:type="dxa"/>
              <w:bottom w:w="75" w:type="dxa"/>
              <w:right w:w="110" w:type="dxa"/>
            </w:tcMar>
          </w:tcPr>
          <w:p w14:paraId="43A9A16C" w14:textId="77777777" w:rsidR="00BD47D0" w:rsidRDefault="00000000">
            <w:pPr>
              <w:spacing w:line="240" w:lineRule="auto"/>
            </w:pPr>
            <w:r>
              <w:rPr>
                <w:b/>
                <w:caps/>
                <w:color w:val="FFFFFF"/>
              </w:rPr>
              <w:t>PROGRAM</w:t>
            </w:r>
          </w:p>
        </w:tc>
      </w:tr>
      <w:tr w:rsidR="00BD47D0" w14:paraId="703FD812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3E8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4037AA7A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7:30–8:00 a.m.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AF5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3293EEE0" w14:textId="77777777" w:rsidR="00BD47D0" w:rsidRDefault="00000000">
            <w:pPr>
              <w:spacing w:line="240" w:lineRule="auto"/>
            </w:pPr>
            <w:r>
              <w:rPr>
                <w:b/>
                <w:color w:val="F58220"/>
                <w:sz w:val="19"/>
              </w:rPr>
              <w:t>Breakfast</w:t>
            </w:r>
          </w:p>
        </w:tc>
      </w:tr>
      <w:tr w:rsidR="00BD47D0" w14:paraId="36BC23C6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4F5F6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C511C6E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8:00–8:45 a.m.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EBC8566" w14:textId="77777777" w:rsidR="00BD47D0" w:rsidRDefault="00000000">
            <w:pPr>
              <w:spacing w:line="240" w:lineRule="auto"/>
              <w:rPr>
                <w:b/>
                <w:color w:val="006B3F"/>
                <w:sz w:val="19"/>
              </w:rPr>
            </w:pPr>
            <w:r>
              <w:rPr>
                <w:b/>
                <w:color w:val="006B3F"/>
                <w:sz w:val="19"/>
              </w:rPr>
              <w:t>Opening Reflections</w:t>
            </w:r>
          </w:p>
          <w:p w14:paraId="26F8E3A1" w14:textId="77777777" w:rsidR="009010C0" w:rsidRDefault="009010C0">
            <w:pPr>
              <w:spacing w:line="240" w:lineRule="auto"/>
            </w:pPr>
          </w:p>
          <w:p w14:paraId="115660F1" w14:textId="77777777" w:rsidR="00BD47D0" w:rsidRDefault="00000000">
            <w:pPr>
              <w:spacing w:line="221" w:lineRule="auto"/>
              <w:rPr>
                <w:sz w:val="16"/>
              </w:rPr>
            </w:pPr>
            <w:r>
              <w:rPr>
                <w:b/>
                <w:color w:val="56616A"/>
                <w:sz w:val="16"/>
              </w:rPr>
              <w:t xml:space="preserve">Welcome &amp; Introduction: </w:t>
            </w:r>
            <w:r>
              <w:rPr>
                <w:sz w:val="16"/>
              </w:rPr>
              <w:t>Seth Y. Ablordeppey</w:t>
            </w:r>
          </w:p>
          <w:p w14:paraId="2A047C6E" w14:textId="77777777" w:rsidR="009010C0" w:rsidRDefault="009010C0">
            <w:pPr>
              <w:spacing w:line="221" w:lineRule="auto"/>
            </w:pPr>
          </w:p>
          <w:p w14:paraId="39D1AA95" w14:textId="77777777" w:rsidR="00BD47D0" w:rsidRDefault="00000000">
            <w:pPr>
              <w:spacing w:line="221" w:lineRule="auto"/>
              <w:rPr>
                <w:sz w:val="16"/>
              </w:rPr>
            </w:pPr>
            <w:r>
              <w:rPr>
                <w:b/>
                <w:color w:val="56616A"/>
                <w:sz w:val="16"/>
              </w:rPr>
              <w:t xml:space="preserve">Greetings: </w:t>
            </w:r>
            <w:r>
              <w:rPr>
                <w:sz w:val="16"/>
              </w:rPr>
              <w:t>Dean Vanessa B. Sheppard</w:t>
            </w:r>
          </w:p>
          <w:p w14:paraId="208886E3" w14:textId="77777777" w:rsidR="009010C0" w:rsidRDefault="009010C0">
            <w:pPr>
              <w:spacing w:line="221" w:lineRule="auto"/>
            </w:pPr>
          </w:p>
          <w:p w14:paraId="3B89F656" w14:textId="16A5C3B2" w:rsidR="00BD47D0" w:rsidRDefault="00000000">
            <w:pPr>
              <w:spacing w:line="221" w:lineRule="auto"/>
            </w:pPr>
            <w:r>
              <w:rPr>
                <w:b/>
                <w:color w:val="56616A"/>
                <w:sz w:val="16"/>
              </w:rPr>
              <w:t xml:space="preserve">Concept of HSERI: </w:t>
            </w:r>
            <w:r>
              <w:rPr>
                <w:sz w:val="16"/>
              </w:rPr>
              <w:t>Dr. Donald Palm</w:t>
            </w:r>
            <w:r w:rsidR="00DB16AA">
              <w:rPr>
                <w:sz w:val="16"/>
              </w:rPr>
              <w:t>; EVP HSERI</w:t>
            </w:r>
          </w:p>
        </w:tc>
      </w:tr>
      <w:tr w:rsidR="00BD47D0" w14:paraId="29E58288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6AB5374C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8:45–10:00 a.m.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5FAF7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45174CAE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Segment 1: Strengthening</w:t>
            </w:r>
            <w:r>
              <w:rPr>
                <w:color w:val="9CA3A7"/>
              </w:rPr>
              <w:t xml:space="preserve">  |  </w:t>
            </w:r>
            <w:r>
              <w:t>Opening Plenary: Strengthening Connection</w:t>
            </w:r>
          </w:p>
        </w:tc>
      </w:tr>
      <w:tr w:rsidR="00BD47D0" w14:paraId="6D82CF36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3E8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64CD74A5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10:00–10:15 a.m.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AF5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3900C498" w14:textId="77777777" w:rsidR="00BD47D0" w:rsidRDefault="00000000">
            <w:pPr>
              <w:spacing w:line="240" w:lineRule="auto"/>
            </w:pPr>
            <w:r>
              <w:rPr>
                <w:b/>
                <w:color w:val="F58220"/>
                <w:sz w:val="19"/>
              </w:rPr>
              <w:t>Coffee Break</w:t>
            </w:r>
          </w:p>
        </w:tc>
      </w:tr>
      <w:tr w:rsidR="00BD47D0" w14:paraId="7E4BAD13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4E543C35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10:15–10:45 a.m.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5FAF7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1096A52F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Segment 2: Enhancing</w:t>
            </w:r>
            <w:r>
              <w:rPr>
                <w:color w:val="9CA3A7"/>
              </w:rPr>
              <w:t xml:space="preserve">  |  </w:t>
            </w:r>
            <w:r>
              <w:t>Setting the Stage | FAMU Leadership</w:t>
            </w:r>
          </w:p>
        </w:tc>
      </w:tr>
      <w:tr w:rsidR="00BD47D0" w14:paraId="4F315A88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383BAA2A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10:45 a.m.–12:00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FF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63FBD543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Breakout Sessions</w:t>
            </w:r>
            <w:r>
              <w:rPr>
                <w:color w:val="9CA3A7"/>
              </w:rPr>
              <w:t xml:space="preserve">  |  </w:t>
            </w:r>
            <w:r>
              <w:t>Enhancing Instruction | Assessment Matters</w:t>
            </w:r>
          </w:p>
        </w:tc>
      </w:tr>
      <w:tr w:rsidR="00BD47D0" w14:paraId="390ECF4A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3E8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336B0287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12:00–1:00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AF5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2B4CB6D5" w14:textId="77777777" w:rsidR="00BD47D0" w:rsidRDefault="00000000">
            <w:pPr>
              <w:spacing w:line="240" w:lineRule="auto"/>
            </w:pPr>
            <w:r>
              <w:rPr>
                <w:b/>
                <w:color w:val="F58220"/>
                <w:sz w:val="19"/>
              </w:rPr>
              <w:t>Lunch</w:t>
            </w:r>
          </w:p>
        </w:tc>
      </w:tr>
      <w:tr w:rsidR="00BD47D0" w14:paraId="0ED815C3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08330F6C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12:45–1:15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FF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29E344EE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Midday Plenary</w:t>
            </w:r>
            <w:r>
              <w:rPr>
                <w:color w:val="9CA3A7"/>
              </w:rPr>
              <w:t xml:space="preserve">  |  </w:t>
            </w:r>
            <w:r>
              <w:t>One College. One Mission. One Student Experience.</w:t>
            </w:r>
          </w:p>
        </w:tc>
      </w:tr>
      <w:tr w:rsidR="00BD47D0" w14:paraId="1F6D0FA2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12C78F44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1:15–1:30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5FAF7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0CCFEABD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Segment 3: Elevating</w:t>
            </w:r>
            <w:r>
              <w:rPr>
                <w:color w:val="9CA3A7"/>
              </w:rPr>
              <w:t xml:space="preserve">  |  </w:t>
            </w:r>
            <w:r>
              <w:t>Setting the Stage | FAMU Leadership</w:t>
            </w:r>
          </w:p>
        </w:tc>
      </w:tr>
      <w:tr w:rsidR="00BD47D0" w14:paraId="4452108F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35FD6B74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1:30–2:45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FF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5610246B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Breakout Sessions</w:t>
            </w:r>
            <w:r>
              <w:rPr>
                <w:color w:val="9CA3A7"/>
              </w:rPr>
              <w:t xml:space="preserve">  |  </w:t>
            </w:r>
            <w:r>
              <w:t>Elevating Assessment | Support That Improves</w:t>
            </w:r>
          </w:p>
        </w:tc>
      </w:tr>
      <w:tr w:rsidR="00BD47D0" w14:paraId="065F531D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3E8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1B52292D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2:45–3:00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AF5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3A02540D" w14:textId="77777777" w:rsidR="00BD47D0" w:rsidRDefault="00000000">
            <w:pPr>
              <w:spacing w:line="240" w:lineRule="auto"/>
            </w:pPr>
            <w:r>
              <w:rPr>
                <w:b/>
                <w:color w:val="F58220"/>
                <w:sz w:val="19"/>
              </w:rPr>
              <w:t>Break</w:t>
            </w:r>
          </w:p>
        </w:tc>
      </w:tr>
      <w:tr w:rsidR="00BD47D0" w14:paraId="03CCF550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12043197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3:00–3:30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FFFF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45EF2E38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Closing Plenary</w:t>
            </w:r>
            <w:r>
              <w:rPr>
                <w:color w:val="9CA3A7"/>
              </w:rPr>
              <w:t xml:space="preserve">  |  </w:t>
            </w:r>
            <w:r>
              <w:t>The Ripple Effect</w:t>
            </w:r>
          </w:p>
        </w:tc>
      </w:tr>
      <w:tr w:rsidR="00BD47D0" w14:paraId="30286B90" w14:textId="77777777">
        <w:trPr>
          <w:cantSplit/>
          <w:jc w:val="center"/>
        </w:trPr>
        <w:tc>
          <w:tcPr>
            <w:tcW w:w="1699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EAF4EF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68EB9ECE" w14:textId="77777777" w:rsidR="00BD47D0" w:rsidRDefault="00000000">
            <w:pPr>
              <w:spacing w:line="240" w:lineRule="auto"/>
              <w:jc w:val="center"/>
            </w:pPr>
            <w:r>
              <w:rPr>
                <w:b/>
                <w:sz w:val="17"/>
              </w:rPr>
              <w:t>3:30–4:00 p.m.</w:t>
            </w:r>
          </w:p>
        </w:tc>
        <w:tc>
          <w:tcPr>
            <w:tcW w:w="8453" w:type="dxa"/>
            <w:tcBorders>
              <w:left w:val="single" w:sz="3" w:space="0" w:color="D9E0DC"/>
              <w:bottom w:val="single" w:sz="3" w:space="0" w:color="D9E0DC"/>
              <w:right w:val="single" w:sz="3" w:space="0" w:color="D9E0DC"/>
            </w:tcBorders>
            <w:shd w:val="clear" w:color="auto" w:fill="F5FAF7"/>
            <w:tcMar>
              <w:top w:w="70" w:type="dxa"/>
              <w:left w:w="105" w:type="dxa"/>
              <w:bottom w:w="70" w:type="dxa"/>
              <w:right w:w="105" w:type="dxa"/>
            </w:tcMar>
            <w:vAlign w:val="center"/>
          </w:tcPr>
          <w:p w14:paraId="32382D23" w14:textId="77777777" w:rsidR="00BD47D0" w:rsidRDefault="00000000">
            <w:pPr>
              <w:spacing w:line="240" w:lineRule="auto"/>
            </w:pPr>
            <w:r>
              <w:rPr>
                <w:b/>
                <w:color w:val="006B3F"/>
                <w:sz w:val="19"/>
              </w:rPr>
              <w:t>Closing Remarks</w:t>
            </w:r>
          </w:p>
        </w:tc>
      </w:tr>
    </w:tbl>
    <w:p w14:paraId="19B3309B" w14:textId="77777777" w:rsidR="00BD47D0" w:rsidRDefault="00000000">
      <w:pPr>
        <w:spacing w:before="140" w:line="240" w:lineRule="auto"/>
        <w:jc w:val="center"/>
      </w:pPr>
      <w:r>
        <w:rPr>
          <w:b/>
          <w:caps/>
          <w:color w:val="F58220"/>
        </w:rPr>
        <w:t>STRENGTHEN  •  ENHANCE  •  ELEVATE</w:t>
      </w:r>
    </w:p>
    <w:sectPr w:rsidR="00BD47D0" w:rsidSect="00034616">
      <w:footerReference w:type="default" r:id="rId8"/>
      <w:pgSz w:w="12240" w:h="15840"/>
      <w:pgMar w:top="504" w:right="691" w:bottom="504" w:left="691" w:header="216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7A86C" w14:textId="77777777" w:rsidR="00E26201" w:rsidRDefault="00E26201">
      <w:pPr>
        <w:spacing w:line="240" w:lineRule="auto"/>
      </w:pPr>
      <w:r>
        <w:separator/>
      </w:r>
    </w:p>
  </w:endnote>
  <w:endnote w:type="continuationSeparator" w:id="0">
    <w:p w14:paraId="46BFA8CA" w14:textId="77777777" w:rsidR="00E26201" w:rsidRDefault="00E26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F3CEC" w14:textId="77777777" w:rsidR="00BD47D0" w:rsidRDefault="00000000">
    <w:pPr>
      <w:pStyle w:val="Footer"/>
      <w:jc w:val="center"/>
    </w:pPr>
    <w:r>
      <w:rPr>
        <w:color w:val="56616A"/>
        <w:sz w:val="15"/>
      </w:rPr>
      <w:t>Florida A&amp;M University • College of Pharmacy and Pharmaceutical Sciences, Institute of Public Health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256AA" w14:textId="77777777" w:rsidR="00E26201" w:rsidRDefault="00E26201">
      <w:pPr>
        <w:spacing w:line="240" w:lineRule="auto"/>
      </w:pPr>
      <w:r>
        <w:separator/>
      </w:r>
    </w:p>
  </w:footnote>
  <w:footnote w:type="continuationSeparator" w:id="0">
    <w:p w14:paraId="5BA4B5B6" w14:textId="77777777" w:rsidR="00E26201" w:rsidRDefault="00E262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9507688">
    <w:abstractNumId w:val="8"/>
  </w:num>
  <w:num w:numId="2" w16cid:durableId="1413576288">
    <w:abstractNumId w:val="6"/>
  </w:num>
  <w:num w:numId="3" w16cid:durableId="633605789">
    <w:abstractNumId w:val="5"/>
  </w:num>
  <w:num w:numId="4" w16cid:durableId="471216338">
    <w:abstractNumId w:val="4"/>
  </w:num>
  <w:num w:numId="5" w16cid:durableId="1456563667">
    <w:abstractNumId w:val="7"/>
  </w:num>
  <w:num w:numId="6" w16cid:durableId="163208434">
    <w:abstractNumId w:val="3"/>
  </w:num>
  <w:num w:numId="7" w16cid:durableId="1684210555">
    <w:abstractNumId w:val="2"/>
  </w:num>
  <w:num w:numId="8" w16cid:durableId="620574023">
    <w:abstractNumId w:val="1"/>
  </w:num>
  <w:num w:numId="9" w16cid:durableId="26870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11D"/>
    <w:rsid w:val="0015074B"/>
    <w:rsid w:val="0029639D"/>
    <w:rsid w:val="00326F90"/>
    <w:rsid w:val="009010C0"/>
    <w:rsid w:val="00AA1D8D"/>
    <w:rsid w:val="00B47730"/>
    <w:rsid w:val="00BD47D0"/>
    <w:rsid w:val="00CB0664"/>
    <w:rsid w:val="00DB16AA"/>
    <w:rsid w:val="00E26201"/>
    <w:rsid w:val="00F739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E56075C-FAAF-4BC6-99E3-45E8023A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Liberation Sans" w:eastAsia="Liberation Sans" w:hAnsi="Liberation Sans"/>
      <w:color w:val="25313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FAMU CoPPS-IPH Retreat Agenda</dc:title>
  <dc:subject>Professional retreat agenda for July 29, 2026</dc:subject>
  <dc:creator>Florida A&amp;M University College of Pharmacy and Pharmaceutical Sciences, Institute of Public Health</dc:creator>
  <cp:keywords>FAMU, retreat, agenda, CoPPS-IPH, July 29 2026</cp:keywords>
  <dc:description>generated by python-docx</dc:description>
  <cp:lastModifiedBy>Ablordeppey, Seth Y.</cp:lastModifiedBy>
  <cp:revision>3</cp:revision>
  <dcterms:created xsi:type="dcterms:W3CDTF">2013-12-23T23:15:00Z</dcterms:created>
  <dcterms:modified xsi:type="dcterms:W3CDTF">2026-07-28T20:56:00Z</dcterms:modified>
  <cp:category/>
</cp:coreProperties>
</file>